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74" w:rsidRPr="00AF2874" w:rsidRDefault="00AF2874" w:rsidP="00AF2874">
      <w:pPr>
        <w:widowControl w:val="0"/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87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F2874" w:rsidRPr="00AF2874" w:rsidRDefault="00AF2874" w:rsidP="00AF2874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874">
        <w:rPr>
          <w:rFonts w:ascii="Times New Roman" w:hAnsi="Times New Roman" w:cs="Times New Roman"/>
          <w:sz w:val="28"/>
          <w:szCs w:val="28"/>
        </w:rPr>
        <w:t>к Правилам</w:t>
      </w:r>
    </w:p>
    <w:p w:rsidR="00AF2874" w:rsidRDefault="00AF2874" w:rsidP="00AF2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874" w:rsidRDefault="00AF2874" w:rsidP="00AF2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874" w:rsidRPr="00AF2874" w:rsidRDefault="00AF2874" w:rsidP="00AF2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874" w:rsidRPr="00AF2874" w:rsidRDefault="00AF2874" w:rsidP="00AF2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874">
        <w:rPr>
          <w:rFonts w:ascii="Times New Roman" w:hAnsi="Times New Roman" w:cs="Times New Roman"/>
          <w:sz w:val="28"/>
          <w:szCs w:val="28"/>
        </w:rPr>
        <w:t>Блок-схема</w:t>
      </w:r>
    </w:p>
    <w:p w:rsidR="00AF2874" w:rsidRPr="00AF2874" w:rsidRDefault="00AF2874" w:rsidP="00AF2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874">
        <w:rPr>
          <w:rFonts w:ascii="Times New Roman" w:hAnsi="Times New Roman" w:cs="Times New Roman"/>
          <w:sz w:val="28"/>
          <w:szCs w:val="28"/>
        </w:rPr>
        <w:t>представления документов на выделение бюджетных ассигнований из резервного фонда администрации на предупреждение и ликвидацию ЧС</w:t>
      </w:r>
    </w:p>
    <w:tbl>
      <w:tblPr>
        <w:tblpPr w:leftFromText="180" w:rightFromText="180" w:bottomFromText="200" w:vertAnchor="text" w:horzAnchor="margin" w:tblpX="6" w:tblpY="1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1685"/>
        <w:gridCol w:w="1019"/>
        <w:gridCol w:w="161"/>
        <w:gridCol w:w="976"/>
        <w:gridCol w:w="2127"/>
        <w:gridCol w:w="602"/>
        <w:gridCol w:w="1240"/>
        <w:gridCol w:w="1843"/>
      </w:tblGrid>
      <w:tr w:rsidR="00AF2874" w:rsidTr="00AF2874">
        <w:trPr>
          <w:trHeight w:val="27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>Решение КЧС и ОПБ Березовского городского округа</w:t>
            </w:r>
          </w:p>
        </w:tc>
      </w:tr>
      <w:tr w:rsidR="00AF2874" w:rsidTr="00AF2874">
        <w:trPr>
          <w:trHeight w:val="156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98"/>
            <w:bookmarkEnd w:id="0"/>
            <w:r>
              <w:rPr>
                <w:rFonts w:ascii="Times New Roman" w:hAnsi="Times New Roman" w:cs="Times New Roman"/>
              </w:rPr>
              <w:t>МКУ «Центр гражданской защиты БГО»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РСЧС БГО, спасательная служба по обеспечению выполнения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по ГО (по предназначению) БГО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 орган местного самоуправления,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администрации БГО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пункта временного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нуждающиеся в оказании финансовой помощи</w:t>
            </w:r>
          </w:p>
        </w:tc>
      </w:tr>
      <w:tr w:rsidR="00AF2874" w:rsidTr="00AF2874">
        <w:trPr>
          <w:trHeight w:val="1687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факте возникновения (угрозы) ЧС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№4)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14 дней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заявки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проведению АСР и других неотложных работ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14 дней (приложения №5, 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заявки  по использованию материальных ресурсов в течение 14 дней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№13)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сводных данных о количестве граждан на ПВР (приложение №7, 8)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оказание</w:t>
            </w:r>
          </w:p>
          <w:p w:rsidR="00AF2874" w:rsidRDefault="00AF2874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единовременной и финансовой</w:t>
            </w:r>
          </w:p>
          <w:p w:rsidR="00AF2874" w:rsidRDefault="00AF2874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помощи  (приложение №9)</w:t>
            </w:r>
          </w:p>
        </w:tc>
      </w:tr>
      <w:tr w:rsidR="00AF2874" w:rsidTr="00AF2874">
        <w:trPr>
          <w:trHeight w:val="487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36.7pt;margin-top:-.05pt;width:0;height:25.45pt;z-index:25165824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8" type="#_x0000_t32" style="position:absolute;left:0;text-align:left;margin-left:364.85pt;margin-top:-.05pt;width:.05pt;height:25.45pt;z-index:25165824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7" type="#_x0000_t32" style="position:absolute;left:0;text-align:left;margin-left:267.8pt;margin-top:-.05pt;width:0;height:25.5pt;z-index:25165824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30" type="#_x0000_t32" style="position:absolute;left:0;text-align:left;margin-left:451.85pt;margin-top:-.05pt;width:.75pt;height:25.5pt;z-index:25165824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6" type="#_x0000_t32" style="position:absolute;left:0;text-align:left;margin-left:49.95pt;margin-top:-.05pt;width:0;height:25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F2874" w:rsidTr="00AF2874">
        <w:trPr>
          <w:trHeight w:val="1535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общественной безопасности администрации БГО – орган, уполномоченный на решение задач в области защиты населения и территорий от ЧС 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администрации БГО - спасательная служба материально-технического обеспечения выполнения мероприятий по ГО БГО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БГО – председатель эвакуационной комиссии БГО</w:t>
            </w:r>
          </w:p>
        </w:tc>
      </w:tr>
      <w:tr w:rsidR="00AF2874" w:rsidTr="00AF2874">
        <w:trPr>
          <w:trHeight w:val="756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Решения КЧС и ОПБ БГО в течение 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дней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заявок по использованию материальных  ресурсов и обобщение в сводную заявку по приложениям №13, 14 в течение 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дней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(приложение №10), оформление сводных данных, списки граждан, нуждающихся в оказании финансовой помощи (приложения №7, 8, 9, 10, 11, 12, 18) в течение 5 дней</w:t>
            </w:r>
          </w:p>
        </w:tc>
      </w:tr>
      <w:tr w:rsidR="00AF2874" w:rsidTr="00AF2874">
        <w:trPr>
          <w:trHeight w:val="1214"/>
        </w:trPr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заявок на проведение аварийно-спасательных  и других неотложных работ и обобщение в </w:t>
            </w:r>
            <w:proofErr w:type="gramStart"/>
            <w:r>
              <w:rPr>
                <w:rFonts w:ascii="Times New Roman" w:hAnsi="Times New Roman" w:cs="Times New Roman"/>
              </w:rPr>
              <w:t>сводные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приложениям 5, 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74" w:rsidRDefault="00AF2874" w:rsidP="00AF28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74" w:rsidRDefault="00AF2874" w:rsidP="00AF28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2874" w:rsidTr="00AF2874">
        <w:trPr>
          <w:trHeight w:val="1378"/>
        </w:trPr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pict>
                <v:rect id="_x0000_s1033" style="position:absolute;margin-left:136.7pt;margin-top:24.25pt;width:236.25pt;height:49.1pt;z-index:251658240;mso-position-horizontal-relative:text;mso-position-vertical-relative:text">
                  <v:textbox style="mso-next-textbox:#_x0000_s1033">
                    <w:txbxContent>
                      <w:p w:rsidR="00AF2874" w:rsidRDefault="00AF2874" w:rsidP="00AF28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Отдел общественной безопасности администрации БГО с согласованием отдела муниципальных закупок БГО</w:t>
                        </w:r>
                      </w:p>
                    </w:txbxContent>
                  </v:textbox>
                </v:rect>
              </w:pict>
            </w:r>
            <w:r>
              <w:pict>
                <v:shape id="_x0000_s1035" type="#_x0000_t32" style="position:absolute;margin-left:16.7pt;margin-top:.95pt;width:120pt;height:24.2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pict>
                <v:shape id="_x0000_s1034" type="#_x0000_t32" style="position:absolute;left:0;text-align:left;margin-left:78.25pt;margin-top:.05pt;width:0;height:24.2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pict>
                <v:shape id="_x0000_s1029" type="#_x0000_t32" style="position:absolute;margin-left:32.65pt;margin-top:.95pt;width:116.95pt;height:25.1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F2874" w:rsidTr="00AF2874">
        <w:trPr>
          <w:trHeight w:val="5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всех необходимых документов для выделения бюджетных ассигнований из резервного фонда администрации в течение 20 дней, подготовка проекта Распоряжения администрации БГО о выделении бюджетных ассигнований из резервного фонда</w:t>
            </w:r>
          </w:p>
        </w:tc>
      </w:tr>
      <w:tr w:rsidR="00AF2874" w:rsidTr="00AF2874">
        <w:trPr>
          <w:trHeight w:val="342"/>
        </w:trPr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pict>
                <v:shape id="_x0000_s1032" type="#_x0000_t32" style="position:absolute;margin-left:81.8pt;margin-top:.15pt;width:.05pt;height:28.8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F2874" w:rsidTr="00AF2874">
        <w:trPr>
          <w:trHeight w:val="8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874" w:rsidTr="00AF2874">
        <w:trPr>
          <w:trHeight w:val="268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бухгалтерского учета и отчетности администрации БГО</w:t>
            </w:r>
          </w:p>
        </w:tc>
      </w:tr>
      <w:tr w:rsidR="00AF2874" w:rsidTr="00AF2874">
        <w:trPr>
          <w:trHeight w:val="6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проекта Распоряжения администрации БГО о выделении бюджетных ассигнований из резервного фонда, выделение финансов ГРБС в течение 1-го месяца,  гражданам, нуждающихся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2874" w:rsidRDefault="00AF2874" w:rsidP="00AF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финансовой помощи  в течение 10 дней</w:t>
            </w:r>
          </w:p>
        </w:tc>
      </w:tr>
    </w:tbl>
    <w:p w:rsidR="00AF2874" w:rsidRDefault="00AF2874" w:rsidP="00AF2874">
      <w:pPr>
        <w:spacing w:after="0" w:line="240" w:lineRule="auto"/>
      </w:pPr>
    </w:p>
    <w:p w:rsidR="00164F2B" w:rsidRDefault="00164F2B"/>
    <w:sectPr w:rsidR="00164F2B" w:rsidSect="00AF28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2874"/>
    <w:rsid w:val="00164F2B"/>
    <w:rsid w:val="00A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6"/>
        <o:r id="V:Rule4" type="connector" idref="#_x0000_s1027"/>
        <o:r id="V:Rule5" type="connector" idref="#_x0000_s1032"/>
        <o:r id="V:Rule6" type="connector" idref="#_x0000_s1035"/>
        <o:r id="V:Rule7" type="connector" idref="#_x0000_s1034"/>
        <o:r id="V:Rule8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2020-06-15T04:51:00Z</dcterms:created>
  <dcterms:modified xsi:type="dcterms:W3CDTF">2020-06-15T04:54:00Z</dcterms:modified>
</cp:coreProperties>
</file>